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0"/>
        <w:pBdr/>
        <w:tabs>
          <w:tab w:val="clear" w:leader="none" w:pos="708"/>
          <w:tab w:val="left" w:leader="none" w:pos="786"/>
        </w:tabs>
        <w:spacing w:after="114" w:before="114"/>
        <w:ind w:right="-1191" w:firstLine="0"/>
        <w:jc w:val="center"/>
        <w:rPr>
          <w:rFonts w:ascii="Times New Roman CYR" w:hAnsi="Times New Roman CYR" w:eastAsia="Times New Roman" w:cs="Times New Roman CYR"/>
          <w:b/>
          <w:sz w:val="18"/>
          <w:szCs w:val="21"/>
        </w:rPr>
      </w:pPr>
      <w:r>
        <w:rPr>
          <w:rFonts w:ascii="Times New Roman CYR" w:hAnsi="Times New Roman CYR" w:cs="Times New Roman CYR"/>
          <w:b/>
          <w:sz w:val="26"/>
          <w:szCs w:val="26"/>
        </w:rPr>
        <w:t xml:space="preserve">Критерии качества и доступности медицинской помощи </w:t>
      </w:r>
      <w:r>
        <w:rPr>
          <w:rFonts w:ascii="Times New Roman CYR" w:hAnsi="Times New Roman CYR" w:eastAsia="Times New Roman" w:cs="Times New Roman CYR"/>
          <w:b/>
          <w:sz w:val="18"/>
          <w:szCs w:val="21"/>
        </w:rPr>
      </w:r>
      <w:r>
        <w:rPr>
          <w:rFonts w:ascii="Times New Roman CYR" w:hAnsi="Times New Roman CYR" w:eastAsia="Times New Roman" w:cs="Times New Roman CYR"/>
          <w:b/>
          <w:sz w:val="18"/>
          <w:szCs w:val="21"/>
        </w:rPr>
      </w:r>
    </w:p>
    <w:p>
      <w:pPr>
        <w:pStyle w:val="880"/>
        <w:pBdr/>
        <w:tabs>
          <w:tab w:val="clear" w:leader="none" w:pos="708"/>
          <w:tab w:val="left" w:leader="none" w:pos="786"/>
        </w:tabs>
        <w:spacing w:after="114" w:before="114"/>
        <w:ind w:right="-1191" w:firstLine="0"/>
        <w:jc w:val="center"/>
        <w:rPr>
          <w:rFonts w:eastAsia="Times New Roman"/>
          <w:b/>
          <w:sz w:val="18"/>
        </w:rPr>
      </w:pPr>
      <w:r>
        <w:rPr>
          <w:rFonts w:ascii="Times New Roman CYR" w:hAnsi="Times New Roman CYR" w:eastAsia="Times New Roman" w:cs="Times New Roman CYR"/>
          <w:b/>
          <w:sz w:val="18"/>
          <w:szCs w:val="21"/>
        </w:rPr>
        <w:t xml:space="preserve">в  ГАУЗ СО </w:t>
      </w:r>
      <w:r>
        <w:rPr>
          <w:rFonts w:eastAsia="Times New Roman"/>
          <w:b/>
          <w:sz w:val="18"/>
          <w:szCs w:val="21"/>
        </w:rPr>
        <w:t xml:space="preserve">«</w:t>
      </w:r>
      <w:r>
        <w:rPr>
          <w:rFonts w:ascii="Times New Roman CYR" w:hAnsi="Times New Roman CYR" w:eastAsia="Times New Roman" w:cs="Times New Roman CYR"/>
          <w:b/>
          <w:sz w:val="18"/>
          <w:szCs w:val="21"/>
        </w:rPr>
        <w:t xml:space="preserve">СОБ № 2» на 2026 год</w:t>
      </w:r>
      <w:r>
        <w:rPr>
          <w:rFonts w:eastAsia="Times New Roman"/>
          <w:b/>
          <w:sz w:val="18"/>
        </w:rPr>
      </w:r>
      <w:r>
        <w:rPr>
          <w:rFonts w:eastAsia="Times New Roman"/>
          <w:b/>
          <w:sz w:val="18"/>
        </w:rPr>
      </w:r>
    </w:p>
    <w:tbl>
      <w:tblPr>
        <w:tblW w:w="10305" w:type="dxa"/>
        <w:tblInd w:w="-569" w:type="dxa"/>
        <w:tblBorders/>
        <w:tblLayout w:type="fixed"/>
        <w:tblCellMar>
          <w:left w:w="54" w:type="dxa"/>
          <w:top w:w="0" w:type="dxa"/>
          <w:right w:w="54" w:type="dxa"/>
          <w:bottom w:w="0" w:type="dxa"/>
        </w:tblCellMar>
        <w:tblLook w:val="04A0" w:firstRow="1" w:lastRow="0" w:firstColumn="1" w:lastColumn="0" w:noHBand="0" w:noVBand="1"/>
      </w:tblPr>
      <w:tblGrid>
        <w:gridCol w:w="423"/>
        <w:gridCol w:w="3035"/>
        <w:gridCol w:w="283"/>
        <w:gridCol w:w="1276"/>
        <w:gridCol w:w="1276"/>
        <w:gridCol w:w="1278"/>
        <w:gridCol w:w="1273"/>
        <w:gridCol w:w="1460"/>
      </w:tblGrid>
      <w:tr>
        <w:trPr>
          <w:trHeight w:val="23"/>
        </w:trPr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</w:tcBorders>
            <w:tcW w:w="423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rPr>
                <w:rFonts w:eastAsia="Times New Roman"/>
                <w:b/>
                <w:sz w:val="18"/>
                <w:lang w:val="en-US"/>
              </w:rPr>
              <w:t xml:space="preserve">№ </w:t>
            </w:r>
            <w:r>
              <w:rPr>
                <w:rFonts w:ascii="Times New Roman CYR" w:hAnsi="Times New Roman CYR" w:cs="Times New Roman CYR"/>
                <w:b/>
                <w:sz w:val="18"/>
              </w:rPr>
              <w:t xml:space="preserve">п/п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</w:tcBorders>
            <w:tcW w:w="3035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rPr>
                <w:rFonts w:ascii="Times New Roman CYR" w:hAnsi="Times New Roman CYR" w:cs="Times New Roman CYR"/>
                <w:b/>
                <w:sz w:val="18"/>
              </w:rPr>
              <w:t xml:space="preserve">Наименование показателя</w:t>
            </w:r>
            <w:r/>
          </w:p>
        </w:tc>
        <w:tc>
          <w:tcPr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</w:tcBorders>
            <w:tcW w:w="1559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>
                <w:rFonts w:ascii="Times New Roman CYR" w:hAnsi="Times New Roman CYR" w:cs="Times New Roman CYR"/>
                <w:b/>
                <w:sz w:val="18"/>
              </w:rPr>
            </w:pPr>
            <w:r>
              <w:rPr>
                <w:rFonts w:ascii="Times New Roman CYR" w:hAnsi="Times New Roman CYR" w:cs="Times New Roman CYR"/>
                <w:b/>
                <w:sz w:val="18"/>
              </w:rPr>
              <w:t xml:space="preserve">Целевое значение</w:t>
            </w:r>
            <w:r>
              <w:rPr>
                <w:rFonts w:ascii="Times New Roman CYR" w:hAnsi="Times New Roman CYR" w:cs="Times New Roman CYR"/>
                <w:b/>
                <w:sz w:val="18"/>
              </w:rPr>
            </w:r>
            <w:r>
              <w:rPr>
                <w:rFonts w:ascii="Times New Roman CYR" w:hAnsi="Times New Roman CYR" w:cs="Times New Roman CYR"/>
                <w:b/>
                <w:sz w:val="18"/>
              </w:rPr>
            </w:r>
          </w:p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rPr>
                <w:rFonts w:ascii="Times New Roman CYR" w:hAnsi="Times New Roman CYR" w:cs="Times New Roman CYR"/>
                <w:b/>
                <w:sz w:val="18"/>
              </w:rPr>
              <w:t xml:space="preserve">на 2026 г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</w:tcBorders>
            <w:tcW w:w="1276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>
                <w:rFonts w:ascii="Times New Roman CYR" w:hAnsi="Times New Roman CYR" w:cs="Times New Roman CYR"/>
                <w:b/>
                <w:sz w:val="18"/>
              </w:rPr>
            </w:pPr>
            <w:r>
              <w:rPr>
                <w:rFonts w:ascii="Times New Roman CYR" w:hAnsi="Times New Roman CYR" w:cs="Times New Roman CYR"/>
                <w:b/>
                <w:sz w:val="18"/>
              </w:rPr>
              <w:t xml:space="preserve">Фактическое</w:t>
            </w:r>
            <w:r>
              <w:rPr>
                <w:rFonts w:ascii="Times New Roman CYR" w:hAnsi="Times New Roman CYR" w:cs="Times New Roman CYR"/>
                <w:b/>
                <w:sz w:val="18"/>
              </w:rPr>
            </w:r>
            <w:r>
              <w:rPr>
                <w:rFonts w:ascii="Times New Roman CYR" w:hAnsi="Times New Roman CYR" w:cs="Times New Roman CYR"/>
                <w:b/>
                <w:sz w:val="18"/>
              </w:rPr>
            </w:r>
          </w:p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>
                <w:b/>
                <w:sz w:val="18"/>
              </w:rPr>
            </w:pPr>
            <w:r>
              <w:rPr>
                <w:rFonts w:ascii="Times New Roman CYR" w:hAnsi="Times New Roman CYR" w:cs="Times New Roman CYR"/>
                <w:b/>
                <w:sz w:val="18"/>
              </w:rPr>
              <w:t xml:space="preserve">Значени5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rPr>
                <w:b/>
                <w:sz w:val="18"/>
                <w:lang w:val="en-US"/>
              </w:rPr>
              <w:t xml:space="preserve">I</w:t>
            </w:r>
            <w:r>
              <w:rPr>
                <w:b/>
                <w:sz w:val="18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sz w:val="18"/>
              </w:rPr>
              <w:t xml:space="preserve">кв. 2026г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</w:tcBorders>
            <w:tcW w:w="1278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>
                <w:rFonts w:ascii="Times New Roman CYR" w:hAnsi="Times New Roman CYR" w:cs="Times New Roman CYR"/>
                <w:b/>
                <w:sz w:val="18"/>
              </w:rPr>
            </w:pPr>
            <w:r>
              <w:rPr>
                <w:rFonts w:ascii="Times New Roman CYR" w:hAnsi="Times New Roman CYR" w:cs="Times New Roman CYR"/>
                <w:b/>
                <w:sz w:val="18"/>
              </w:rPr>
              <w:t xml:space="preserve">Фактическое</w:t>
            </w:r>
            <w:r>
              <w:rPr>
                <w:rFonts w:ascii="Times New Roman CYR" w:hAnsi="Times New Roman CYR" w:cs="Times New Roman CYR"/>
                <w:b/>
                <w:sz w:val="18"/>
              </w:rPr>
            </w:r>
            <w:r>
              <w:rPr>
                <w:rFonts w:ascii="Times New Roman CYR" w:hAnsi="Times New Roman CYR" w:cs="Times New Roman CYR"/>
                <w:b/>
                <w:sz w:val="18"/>
              </w:rPr>
            </w:r>
          </w:p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>
                <w:b/>
                <w:sz w:val="18"/>
              </w:rPr>
            </w:pPr>
            <w:r>
              <w:rPr>
                <w:rFonts w:ascii="Times New Roman CYR" w:hAnsi="Times New Roman CYR" w:cs="Times New Roman CYR"/>
                <w:b/>
                <w:sz w:val="18"/>
              </w:rPr>
              <w:t xml:space="preserve">значение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rPr>
                <w:b/>
                <w:sz w:val="18"/>
                <w:lang w:val="en-US"/>
              </w:rPr>
              <w:t xml:space="preserve">II</w:t>
            </w:r>
            <w:r>
              <w:rPr>
                <w:b/>
                <w:sz w:val="18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sz w:val="18"/>
              </w:rPr>
              <w:t xml:space="preserve">кв.2026г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</w:tcBorders>
            <w:tcW w:w="1273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>
                <w:rFonts w:ascii="Times New Roman CYR" w:hAnsi="Times New Roman CYR" w:cs="Times New Roman CYR"/>
                <w:b/>
                <w:sz w:val="18"/>
              </w:rPr>
            </w:pPr>
            <w:r>
              <w:rPr>
                <w:rFonts w:ascii="Times New Roman CYR" w:hAnsi="Times New Roman CYR" w:cs="Times New Roman CYR"/>
                <w:b/>
                <w:sz w:val="18"/>
              </w:rPr>
              <w:t xml:space="preserve">Фактическое</w:t>
            </w:r>
            <w:r>
              <w:rPr>
                <w:rFonts w:ascii="Times New Roman CYR" w:hAnsi="Times New Roman CYR" w:cs="Times New Roman CYR"/>
                <w:b/>
                <w:sz w:val="18"/>
              </w:rPr>
            </w:r>
            <w:r>
              <w:rPr>
                <w:rFonts w:ascii="Times New Roman CYR" w:hAnsi="Times New Roman CYR" w:cs="Times New Roman CYR"/>
                <w:b/>
                <w:sz w:val="18"/>
              </w:rPr>
            </w:r>
          </w:p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>
                <w:rFonts w:eastAsia="Times New Roman"/>
                <w:b/>
                <w:sz w:val="18"/>
              </w:rPr>
            </w:pPr>
            <w:r>
              <w:rPr>
                <w:rFonts w:ascii="Times New Roman CYR" w:hAnsi="Times New Roman CYR" w:cs="Times New Roman CYR"/>
                <w:b/>
                <w:sz w:val="18"/>
              </w:rPr>
              <w:t xml:space="preserve">значение</w:t>
            </w:r>
            <w:r>
              <w:rPr>
                <w:rFonts w:eastAsia="Times New Roman"/>
                <w:b/>
                <w:sz w:val="18"/>
              </w:rPr>
            </w:r>
            <w:r>
              <w:rPr>
                <w:rFonts w:eastAsia="Times New Roman"/>
                <w:b/>
                <w:sz w:val="18"/>
              </w:rPr>
            </w:r>
          </w:p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rPr>
                <w:rFonts w:eastAsia="Times New Roman"/>
                <w:b/>
                <w:sz w:val="18"/>
              </w:rPr>
              <w:t xml:space="preserve"> </w:t>
            </w:r>
            <w:r>
              <w:rPr>
                <w:b/>
                <w:sz w:val="18"/>
                <w:lang w:val="en-US"/>
              </w:rPr>
              <w:t xml:space="preserve">III</w:t>
            </w:r>
            <w:r>
              <w:rPr>
                <w:b/>
                <w:sz w:val="18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sz w:val="18"/>
              </w:rPr>
              <w:t xml:space="preserve">кв.2026 г</w:t>
            </w:r>
            <w:r/>
          </w:p>
        </w:tc>
        <w:tc>
          <w:tcPr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460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>
                <w:rFonts w:ascii="Times New Roman CYR" w:hAnsi="Times New Roman CYR" w:cs="Times New Roman CYR"/>
                <w:b/>
                <w:sz w:val="18"/>
              </w:rPr>
            </w:pPr>
            <w:r>
              <w:rPr>
                <w:rFonts w:ascii="Times New Roman CYR" w:hAnsi="Times New Roman CYR" w:cs="Times New Roman CYR"/>
                <w:b/>
                <w:sz w:val="18"/>
              </w:rPr>
              <w:t xml:space="preserve">Фактическое</w:t>
            </w:r>
            <w:r>
              <w:rPr>
                <w:rFonts w:ascii="Times New Roman CYR" w:hAnsi="Times New Roman CYR" w:cs="Times New Roman CYR"/>
                <w:b/>
                <w:sz w:val="18"/>
              </w:rPr>
            </w:r>
            <w:r>
              <w:rPr>
                <w:rFonts w:ascii="Times New Roman CYR" w:hAnsi="Times New Roman CYR" w:cs="Times New Roman CYR"/>
                <w:b/>
                <w:sz w:val="18"/>
              </w:rPr>
            </w:r>
          </w:p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>
                <w:b/>
                <w:sz w:val="18"/>
              </w:rPr>
            </w:pPr>
            <w:r>
              <w:rPr>
                <w:rFonts w:ascii="Times New Roman CYR" w:hAnsi="Times New Roman CYR" w:cs="Times New Roman CYR"/>
                <w:b/>
                <w:sz w:val="18"/>
              </w:rPr>
              <w:t xml:space="preserve">значение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rPr>
                <w:b/>
                <w:sz w:val="18"/>
                <w:lang w:val="en-US"/>
              </w:rPr>
              <w:t xml:space="preserve">IV</w:t>
            </w:r>
            <w:r>
              <w:rPr>
                <w:b/>
                <w:sz w:val="18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sz w:val="18"/>
              </w:rPr>
              <w:t xml:space="preserve">кв.2026 г</w:t>
            </w:r>
            <w:r/>
          </w:p>
        </w:tc>
      </w:tr>
      <w:tr>
        <w:trPr>
          <w:trHeight w:val="23"/>
        </w:trPr>
        <w:tc>
          <w:tcPr>
            <w:gridSpan w:val="8"/>
            <w:tcBorders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0304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rPr>
                <w:rFonts w:eastAsia="Times New Roman"/>
                <w:b/>
              </w:rPr>
              <w:t xml:space="preserve">                  </w:t>
            </w:r>
            <w:r>
              <w:rPr>
                <w:rFonts w:ascii="Times New Roman CYR" w:hAnsi="Times New Roman CYR" w:eastAsia="Times New Roman CYR" w:cs="Times New Roman CYR"/>
                <w:b/>
              </w:rPr>
              <w:t xml:space="preserve">          </w:t>
            </w:r>
            <w:r>
              <w:rPr>
                <w:rFonts w:ascii="Times New Roman CYR" w:hAnsi="Times New Roman CYR" w:cs="Times New Roman CYR"/>
                <w:b/>
              </w:rPr>
              <w:t xml:space="preserve">Критерии качества медицинской помощи</w:t>
            </w:r>
            <w:r/>
          </w:p>
        </w:tc>
      </w:tr>
      <w:tr>
        <w:trPr>
          <w:trHeight w:val="1001"/>
        </w:trPr>
        <w:tc>
          <w:tcPr>
            <w:tcBorders>
              <w:left w:val="single" w:color="000001" w:sz="6" w:space="0"/>
              <w:bottom w:val="single" w:color="000001" w:sz="6" w:space="0"/>
            </w:tcBorders>
            <w:tcW w:w="423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rPr>
                <w:sz w:val="21"/>
                <w:szCs w:val="21"/>
                <w:lang w:val="en-US"/>
              </w:rPr>
              <w:t xml:space="preserve">1</w:t>
            </w:r>
            <w:r/>
          </w:p>
        </w:tc>
        <w:tc>
          <w:tcPr>
            <w:gridSpan w:val="2"/>
            <w:tcBorders>
              <w:left w:val="single" w:color="000001" w:sz="6" w:space="0"/>
              <w:bottom w:val="single" w:color="000001" w:sz="6" w:space="0"/>
            </w:tcBorders>
            <w:tcW w:w="3318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both"/>
              <w:rPr/>
            </w:pPr>
            <w:r>
              <w:rPr>
                <w:rFonts w:ascii="Times New Roman CYR" w:hAnsi="Times New Roman CYR" w:cs="Times New Roman CYR"/>
                <w:sz w:val="21"/>
                <w:szCs w:val="21"/>
              </w:rPr>
              <w:t xml:space="preserve">Удовлетворенность населения медицинской помощью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6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>
                <w:rFonts w:ascii="Times New Roman CYR" w:hAnsi="Times New Roman CYR" w:cs="Times New Roman CYR"/>
                <w:sz w:val="21"/>
                <w:szCs w:val="21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</w:rPr>
            </w:r>
            <w:r>
              <w:rPr>
                <w:rFonts w:ascii="Times New Roman CYR" w:hAnsi="Times New Roman CYR" w:cs="Times New Roman CYR"/>
                <w:sz w:val="21"/>
                <w:szCs w:val="21"/>
              </w:rPr>
            </w:r>
            <w:r>
              <w:rPr>
                <w:rFonts w:ascii="Times New Roman CYR" w:hAnsi="Times New Roman CYR" w:cs="Times New Roman CYR"/>
                <w:sz w:val="21"/>
                <w:szCs w:val="21"/>
              </w:rPr>
            </w:r>
          </w:p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rPr>
                <w:rFonts w:ascii="Times New Roman CYR" w:hAnsi="Times New Roman CYR" w:cs="Times New Roman CYR"/>
                <w:sz w:val="21"/>
                <w:szCs w:val="21"/>
              </w:rPr>
              <w:t xml:space="preserve">86%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4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832"/>
        </w:trPr>
        <w:tc>
          <w:tcPr>
            <w:tcBorders>
              <w:left w:val="single" w:color="000001" w:sz="6" w:space="0"/>
              <w:bottom w:val="single" w:color="000001" w:sz="6" w:space="0"/>
            </w:tcBorders>
            <w:tcW w:w="423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rPr>
                <w:sz w:val="21"/>
                <w:szCs w:val="21"/>
                <w:lang w:val="en-US"/>
              </w:rPr>
              <w:t xml:space="preserve">2</w:t>
            </w:r>
            <w:r/>
          </w:p>
        </w:tc>
        <w:tc>
          <w:tcPr>
            <w:gridSpan w:val="2"/>
            <w:tcBorders>
              <w:left w:val="single" w:color="000001" w:sz="6" w:space="0"/>
              <w:bottom w:val="single" w:color="000001" w:sz="6" w:space="0"/>
            </w:tcBorders>
            <w:tcW w:w="3318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both"/>
              <w:rPr>
                <w:rFonts w:ascii="Calibri" w:hAnsi="Calibri" w:eastAsia="Calibri" w:cs="Calibri"/>
                <w:sz w:val="21"/>
                <w:szCs w:val="21"/>
                <w:lang w:eastAsia="en-US"/>
              </w:rPr>
            </w:pPr>
            <w:r>
              <w:rPr>
                <w:rFonts w:ascii="Calibri" w:hAnsi="Calibri" w:eastAsia="Calibri" w:cs="Calibri"/>
                <w:sz w:val="21"/>
                <w:szCs w:val="21"/>
                <w:lang w:eastAsia="en-US"/>
              </w:rPr>
              <w:t xml:space="preserve">Количество обоснованных жалоб, в том числе на несоблюдение сроков ожидания оказания и отказ в оказании медицинской помощи, предоставляемой в рамках Территориальной </w:t>
            </w:r>
            <w:r>
              <w:fldChar w:fldCharType="begin"/>
            </w:r>
            <w:r>
              <w:rPr>
                <w:rStyle w:val="882"/>
                <w:rFonts w:ascii="Calibri" w:hAnsi="Calibri" w:eastAsia="Calibri" w:cs="Calibri"/>
                <w:sz w:val="21"/>
                <w:szCs w:val="21"/>
                <w:lang w:eastAsia="en-US"/>
              </w:rPr>
              <w:instrText xml:space="preserve"> HYPERLINK "../../../../C:/Users/pilnikova-na/Desktop/Documents/%D0%9E%D0%9C%D0%A1/2023/%D0%9A%D1%80%D0%B8%D1%82%D0%B5%D1%80%D0%B8%D</w:instrText>
            </w:r>
            <w:r>
              <w:rPr>
                <w:rStyle w:val="882"/>
                <w:rFonts w:ascii="Calibri" w:hAnsi="Calibri" w:eastAsia="Calibri" w:cs="Calibri"/>
                <w:sz w:val="21"/>
                <w:szCs w:val="21"/>
                <w:lang w:eastAsia="en-US"/>
              </w:rPr>
              <w:instrText xml:space="preserve">0%B8%20%D0%BA%D0%B0%D1%87%D0%B5%D1%81%D1%82%D0%B2%D0%B0%20%D0%B8%20%D0%B4%D0%BE%D1%81%D1%82%D1%83%D0%BF%D0%BD%D0%BE%D1%81%D1%82%D0%B8%20%D0%BC%D0%B5%D0%B4%D0%B8%D1%86%D0%B8%D0%BD%D1%81%D0%BA%D0%BE%D0%B9%20%D0%BF%D0%BE%D0%BC%D0%BE%D1%89%D0%B8.docx" \l "P34"</w:instrText>
            </w:r>
            <w:r>
              <w:rPr>
                <w:rStyle w:val="882"/>
                <w:rFonts w:ascii="Calibri" w:hAnsi="Calibri" w:eastAsia="Calibri" w:cs="Calibri"/>
                <w:sz w:val="21"/>
                <w:szCs w:val="21"/>
                <w:lang w:eastAsia="en-US"/>
              </w:rPr>
              <w:fldChar w:fldCharType="separate"/>
            </w:r>
            <w:r>
              <w:rPr>
                <w:rStyle w:val="882"/>
                <w:rFonts w:ascii="Calibri" w:hAnsi="Calibri" w:eastAsia="Calibri" w:cs="Calibri"/>
                <w:sz w:val="21"/>
                <w:szCs w:val="21"/>
                <w:lang w:eastAsia="en-US"/>
              </w:rPr>
              <w:t xml:space="preserve">программы</w:t>
            </w:r>
            <w:r>
              <w:rPr>
                <w:rStyle w:val="882"/>
                <w:rFonts w:ascii="Calibri" w:hAnsi="Calibri" w:eastAsia="Calibri" w:cs="Calibri"/>
                <w:sz w:val="21"/>
                <w:szCs w:val="21"/>
                <w:lang w:eastAsia="en-US"/>
              </w:rPr>
              <w:fldChar w:fldCharType="end"/>
            </w:r>
            <w:r>
              <w:rPr>
                <w:rFonts w:ascii="Calibri" w:hAnsi="Calibri" w:eastAsia="Calibri" w:cs="Calibri"/>
                <w:sz w:val="21"/>
                <w:szCs w:val="21"/>
                <w:lang w:eastAsia="en-US"/>
              </w:rPr>
              <w:t xml:space="preserve"> государственных гарантий бесплатного оказания гражданам медицинской помощи в Свердловской области на 2025год и на плановый период 2026и 2027годов абсолютное количество</w:t>
            </w:r>
            <w:r>
              <w:rPr>
                <w:rFonts w:ascii="Calibri" w:hAnsi="Calibri" w:eastAsia="Calibri" w:cs="Calibri"/>
                <w:sz w:val="21"/>
                <w:szCs w:val="21"/>
                <w:lang w:eastAsia="en-US"/>
              </w:rPr>
            </w:r>
            <w:r>
              <w:rPr>
                <w:rFonts w:ascii="Calibri" w:hAnsi="Calibri" w:eastAsia="Calibri" w:cs="Calibri"/>
                <w:sz w:val="21"/>
                <w:szCs w:val="21"/>
                <w:lang w:eastAsia="en-US"/>
              </w:rPr>
            </w:r>
          </w:p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rPr>
                <w:rFonts w:ascii="Calibri" w:hAnsi="Calibri" w:eastAsia="Calibri" w:cs="Calibri"/>
                <w:sz w:val="21"/>
                <w:szCs w:val="21"/>
                <w:lang w:eastAsia="en-US"/>
              </w:rPr>
              <w:t xml:space="preserve">не более 450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6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5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4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3"/>
        </w:trPr>
        <w:tc>
          <w:tcPr>
            <w:gridSpan w:val="8"/>
            <w:tcBorders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0304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rPr>
                <w:rFonts w:eastAsia="Times New Roman"/>
                <w:b/>
                <w:sz w:val="21"/>
                <w:szCs w:val="21"/>
              </w:rPr>
              <w:t xml:space="preserve">                    </w:t>
            </w:r>
            <w:r>
              <w:rPr>
                <w:rFonts w:ascii="Times New Roman CYR" w:hAnsi="Times New Roman CYR" w:eastAsia="Times New Roman CYR" w:cs="Times New Roman CYR"/>
                <w:b/>
                <w:sz w:val="21"/>
                <w:szCs w:val="21"/>
              </w:rPr>
              <w:t xml:space="preserve">                </w:t>
            </w:r>
            <w:r>
              <w:rPr>
                <w:rFonts w:ascii="Times New Roman CYR" w:hAnsi="Times New Roman CYR" w:cs="Times New Roman CYR"/>
                <w:b/>
                <w:sz w:val="21"/>
                <w:szCs w:val="21"/>
              </w:rPr>
              <w:t xml:space="preserve">Критерии доступности медицинской помощи</w:t>
            </w:r>
            <w:r/>
          </w:p>
        </w:tc>
      </w:tr>
      <w:tr>
        <w:trPr>
          <w:trHeight w:val="23"/>
        </w:trPr>
        <w:tc>
          <w:tcPr>
            <w:tcBorders>
              <w:left w:val="single" w:color="000001" w:sz="6" w:space="0"/>
              <w:bottom w:val="single" w:color="000001" w:sz="6" w:space="0"/>
            </w:tcBorders>
            <w:tcW w:w="423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rPr>
                <w:sz w:val="21"/>
                <w:szCs w:val="21"/>
                <w:lang w:val="en-US"/>
              </w:rPr>
              <w:t xml:space="preserve">3</w:t>
            </w:r>
            <w:r/>
          </w:p>
        </w:tc>
        <w:tc>
          <w:tcPr>
            <w:gridSpan w:val="2"/>
            <w:tcBorders>
              <w:left w:val="single" w:color="000001" w:sz="6" w:space="0"/>
              <w:bottom w:val="single" w:color="000001" w:sz="6" w:space="0"/>
            </w:tcBorders>
            <w:tcW w:w="3318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both"/>
              <w:rPr>
                <w:sz w:val="21"/>
                <w:szCs w:val="21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</w:rPr>
              <w:t xml:space="preserve">Амбулаторная медицинская помощь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880"/>
              <w:widowControl w:val="false"/>
              <w:pBdr/>
              <w:spacing w:line="276" w:lineRule="auto"/>
              <w:ind/>
              <w:jc w:val="both"/>
              <w:rPr/>
            </w:pPr>
            <w:r>
              <w:rPr>
                <w:sz w:val="21"/>
                <w:szCs w:val="21"/>
              </w:rPr>
              <w:t xml:space="preserve">(</w:t>
            </w:r>
            <w:r>
              <w:rPr>
                <w:rFonts w:ascii="Times New Roman CYR" w:hAnsi="Times New Roman CYR" w:cs="Times New Roman CYR"/>
                <w:sz w:val="21"/>
                <w:szCs w:val="21"/>
              </w:rPr>
              <w:t xml:space="preserve">специализированная медицинская    помощь)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6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90850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4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3"/>
        </w:trPr>
        <w:tc>
          <w:tcPr>
            <w:tcBorders>
              <w:left w:val="single" w:color="000001" w:sz="6" w:space="0"/>
              <w:bottom w:val="single" w:color="000001" w:sz="6" w:space="0"/>
            </w:tcBorders>
            <w:tcW w:w="423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rPr>
                <w:sz w:val="21"/>
                <w:szCs w:val="21"/>
                <w:lang w:val="en-US"/>
              </w:rPr>
              <w:t xml:space="preserve">4</w:t>
            </w:r>
            <w:r/>
          </w:p>
        </w:tc>
        <w:tc>
          <w:tcPr>
            <w:gridSpan w:val="2"/>
            <w:tcBorders>
              <w:left w:val="single" w:color="000001" w:sz="6" w:space="0"/>
              <w:bottom w:val="single" w:color="000001" w:sz="6" w:space="0"/>
            </w:tcBorders>
            <w:tcW w:w="3318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both"/>
              <w:rPr/>
            </w:pPr>
            <w:r>
              <w:rPr>
                <w:rFonts w:ascii="Times New Roman CYR" w:hAnsi="Times New Roman CYR" w:cs="Times New Roman CYR"/>
                <w:sz w:val="21"/>
                <w:szCs w:val="21"/>
              </w:rPr>
              <w:t xml:space="preserve">Стационарная медицинская помощь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6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2 200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4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3"/>
        </w:trPr>
        <w:tc>
          <w:tcPr>
            <w:tcBorders>
              <w:left w:val="single" w:color="000001" w:sz="6" w:space="0"/>
              <w:bottom w:val="single" w:color="000001" w:sz="6" w:space="0"/>
            </w:tcBorders>
            <w:tcW w:w="423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rPr>
                <w:sz w:val="21"/>
                <w:szCs w:val="21"/>
                <w:lang w:val="en-US"/>
              </w:rPr>
              <w:t xml:space="preserve">5</w:t>
            </w:r>
            <w:r/>
          </w:p>
        </w:tc>
        <w:tc>
          <w:tcPr>
            <w:gridSpan w:val="2"/>
            <w:tcBorders>
              <w:left w:val="single" w:color="000001" w:sz="6" w:space="0"/>
              <w:bottom w:val="single" w:color="000001" w:sz="6" w:space="0"/>
            </w:tcBorders>
            <w:tcW w:w="3318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both"/>
              <w:rPr/>
            </w:pPr>
            <w:r>
              <w:rPr>
                <w:rFonts w:ascii="Times New Roman CYR" w:hAnsi="Times New Roman CYR" w:cs="Times New Roman CYR"/>
                <w:sz w:val="21"/>
                <w:szCs w:val="21"/>
              </w:rPr>
              <w:t xml:space="preserve">Время ожидания на амбулаторном приеме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6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1 час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4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3"/>
        </w:trPr>
        <w:tc>
          <w:tcPr>
            <w:tcBorders>
              <w:left w:val="single" w:color="000001" w:sz="6" w:space="0"/>
              <w:bottom w:val="single" w:color="000001" w:sz="6" w:space="0"/>
            </w:tcBorders>
            <w:tcW w:w="423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rPr>
                <w:sz w:val="21"/>
                <w:szCs w:val="21"/>
                <w:lang w:val="en-US"/>
              </w:rPr>
              <w:t xml:space="preserve">6</w:t>
            </w:r>
            <w:r/>
          </w:p>
        </w:tc>
        <w:tc>
          <w:tcPr>
            <w:gridSpan w:val="2"/>
            <w:tcBorders>
              <w:left w:val="single" w:color="000001" w:sz="6" w:space="0"/>
              <w:bottom w:val="single" w:color="000001" w:sz="6" w:space="0"/>
            </w:tcBorders>
            <w:tcW w:w="3318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both"/>
              <w:rPr/>
            </w:pPr>
            <w:r>
              <w:rPr>
                <w:rFonts w:ascii="Times New Roman CYR" w:hAnsi="Times New Roman CYR" w:cs="Times New Roman CYR"/>
                <w:sz w:val="21"/>
                <w:szCs w:val="21"/>
              </w:rPr>
              <w:t xml:space="preserve">Сроки ожидания плановой госпитализации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6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14 рабочих дней дней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4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3"/>
        </w:trPr>
        <w:tc>
          <w:tcPr>
            <w:tcBorders>
              <w:left w:val="single" w:color="000001" w:sz="6" w:space="0"/>
              <w:bottom w:val="single" w:color="000001" w:sz="6" w:space="0"/>
            </w:tcBorders>
            <w:tcW w:w="423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rPr>
                <w:sz w:val="21"/>
                <w:szCs w:val="21"/>
                <w:lang w:val="en-US"/>
              </w:rPr>
              <w:t xml:space="preserve">7</w:t>
            </w:r>
            <w:r/>
          </w:p>
        </w:tc>
        <w:tc>
          <w:tcPr>
            <w:gridSpan w:val="2"/>
            <w:tcBorders>
              <w:left w:val="single" w:color="000001" w:sz="6" w:space="0"/>
              <w:bottom w:val="single" w:color="000001" w:sz="6" w:space="0"/>
            </w:tcBorders>
            <w:tcW w:w="3318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both"/>
              <w:rPr/>
            </w:pPr>
            <w:r>
              <w:rPr>
                <w:rFonts w:ascii="Times New Roman CYR" w:hAnsi="Times New Roman CYR" w:cs="Times New Roman CYR"/>
                <w:sz w:val="21"/>
                <w:szCs w:val="21"/>
              </w:rPr>
              <w:t xml:space="preserve">Сроки ожидания консультации к </w:t>
            </w:r>
            <w:r>
              <w:rPr>
                <w:sz w:val="21"/>
                <w:szCs w:val="21"/>
              </w:rPr>
              <w:t xml:space="preserve">«</w:t>
            </w:r>
            <w:r>
              <w:rPr>
                <w:rFonts w:ascii="Times New Roman CYR" w:hAnsi="Times New Roman CYR" w:cs="Times New Roman CYR"/>
                <w:sz w:val="21"/>
                <w:szCs w:val="21"/>
              </w:rPr>
              <w:t xml:space="preserve">узким специалистам</w:t>
            </w:r>
            <w:r>
              <w:rPr>
                <w:sz w:val="21"/>
                <w:szCs w:val="21"/>
              </w:rPr>
              <w:t xml:space="preserve">»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6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14 рабочих дней дней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4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3"/>
        </w:trPr>
        <w:tc>
          <w:tcPr>
            <w:gridSpan w:val="8"/>
            <w:tcBorders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0304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rPr/>
            </w:pPr>
            <w:r>
              <w:rPr>
                <w:rFonts w:eastAsia="Times New Roman"/>
                <w:b/>
                <w:sz w:val="21"/>
                <w:szCs w:val="21"/>
                <w:lang w:val="en-US"/>
              </w:rPr>
              <w:t xml:space="preserve">                                  </w:t>
            </w:r>
            <w:r>
              <w:rPr>
                <w:rFonts w:eastAsia="Times New Roman"/>
                <w:b/>
                <w:sz w:val="21"/>
                <w:szCs w:val="21"/>
              </w:rPr>
              <w:t xml:space="preserve">        </w:t>
            </w:r>
            <w:r>
              <w:rPr>
                <w:rFonts w:eastAsia="Times New Roman"/>
                <w:b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sz w:val="21"/>
                <w:szCs w:val="21"/>
              </w:rPr>
              <w:t xml:space="preserve">Показатели эффективности деятельности медицинских организаций</w:t>
            </w:r>
            <w:r/>
          </w:p>
        </w:tc>
      </w:tr>
      <w:tr>
        <w:trPr>
          <w:trHeight w:val="23"/>
        </w:trPr>
        <w:tc>
          <w:tcPr>
            <w:tcBorders>
              <w:left w:val="single" w:color="000001" w:sz="6" w:space="0"/>
              <w:bottom w:val="single" w:color="000001" w:sz="6" w:space="0"/>
            </w:tcBorders>
            <w:tcW w:w="423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rPr>
                <w:sz w:val="21"/>
                <w:szCs w:val="21"/>
                <w:lang w:val="en-US"/>
              </w:rPr>
              <w:t xml:space="preserve">8</w:t>
            </w:r>
            <w:r/>
          </w:p>
        </w:tc>
        <w:tc>
          <w:tcPr>
            <w:gridSpan w:val="2"/>
            <w:tcBorders>
              <w:left w:val="single" w:color="000001" w:sz="6" w:space="0"/>
              <w:bottom w:val="single" w:color="000001" w:sz="6" w:space="0"/>
            </w:tcBorders>
            <w:tcW w:w="3318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both"/>
              <w:rPr/>
            </w:pPr>
            <w:r>
              <w:rPr>
                <w:rFonts w:ascii="Times New Roman CYR" w:hAnsi="Times New Roman CYR" w:cs="Times New Roman CYR"/>
                <w:sz w:val="21"/>
                <w:szCs w:val="21"/>
              </w:rPr>
              <w:t xml:space="preserve">Среднегодовая занятость койки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6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315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4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3"/>
        </w:trPr>
        <w:tc>
          <w:tcPr>
            <w:tcBorders>
              <w:left w:val="single" w:color="000001" w:sz="6" w:space="0"/>
              <w:bottom w:val="single" w:color="000001" w:sz="6" w:space="0"/>
            </w:tcBorders>
            <w:tcW w:w="423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rPr>
                <w:sz w:val="21"/>
                <w:szCs w:val="21"/>
                <w:lang w:val="en-US"/>
              </w:rPr>
              <w:t xml:space="preserve">9</w:t>
            </w:r>
            <w:r/>
          </w:p>
        </w:tc>
        <w:tc>
          <w:tcPr>
            <w:gridSpan w:val="2"/>
            <w:tcBorders>
              <w:left w:val="single" w:color="000001" w:sz="6" w:space="0"/>
              <w:bottom w:val="single" w:color="000001" w:sz="6" w:space="0"/>
            </w:tcBorders>
            <w:tcW w:w="3318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both"/>
              <w:rPr/>
            </w:pPr>
            <w:r>
              <w:rPr>
                <w:rFonts w:ascii="Times New Roman CYR" w:hAnsi="Times New Roman CYR" w:cs="Times New Roman CYR"/>
                <w:sz w:val="21"/>
                <w:szCs w:val="21"/>
              </w:rPr>
              <w:t xml:space="preserve">Доля врачей, имеющих сертификат- аккредитацию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6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100 %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4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3"/>
        </w:trPr>
        <w:tc>
          <w:tcPr>
            <w:tcBorders>
              <w:left w:val="single" w:color="000001" w:sz="6" w:space="0"/>
              <w:bottom w:val="single" w:color="000001" w:sz="6" w:space="0"/>
            </w:tcBorders>
            <w:tcW w:w="423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rPr>
                <w:sz w:val="21"/>
                <w:szCs w:val="21"/>
                <w:lang w:val="en-US"/>
              </w:rPr>
              <w:t xml:space="preserve">10</w:t>
            </w:r>
            <w:r/>
          </w:p>
        </w:tc>
        <w:tc>
          <w:tcPr>
            <w:gridSpan w:val="2"/>
            <w:tcBorders>
              <w:left w:val="single" w:color="000001" w:sz="6" w:space="0"/>
              <w:bottom w:val="single" w:color="000001" w:sz="6" w:space="0"/>
            </w:tcBorders>
            <w:tcW w:w="3318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both"/>
              <w:rPr>
                <w:rFonts w:ascii="Times New Roman CYR" w:hAnsi="Times New Roman CYR" w:cs="Times New Roman CYR"/>
                <w:sz w:val="21"/>
                <w:szCs w:val="21"/>
              </w:rPr>
            </w:pPr>
            <w:r>
              <w:rPr>
                <w:rFonts w:ascii="Times New Roman CYR" w:hAnsi="Times New Roman CYR" w:cs="Times New Roman CYR"/>
                <w:sz w:val="21"/>
                <w:szCs w:val="21"/>
              </w:rPr>
              <w:t xml:space="preserve">Средние сроки пребывания пациента</w:t>
            </w:r>
            <w:r>
              <w:rPr>
                <w:rFonts w:ascii="Times New Roman CYR" w:hAnsi="Times New Roman CYR" w:cs="Times New Roman CYR"/>
                <w:sz w:val="21"/>
                <w:szCs w:val="21"/>
              </w:rPr>
            </w:r>
            <w:r>
              <w:rPr>
                <w:rFonts w:ascii="Times New Roman CYR" w:hAnsi="Times New Roman CYR" w:cs="Times New Roman CYR"/>
                <w:sz w:val="21"/>
                <w:szCs w:val="21"/>
              </w:rPr>
            </w:r>
          </w:p>
          <w:p>
            <w:pPr>
              <w:pStyle w:val="880"/>
              <w:widowControl w:val="false"/>
              <w:pBdr/>
              <w:spacing w:line="276" w:lineRule="auto"/>
              <w:ind/>
              <w:jc w:val="both"/>
              <w:rPr/>
            </w:pPr>
            <w:r>
              <w:rPr>
                <w:rFonts w:ascii="Times New Roman CYR" w:hAnsi="Times New Roman CYR" w:cs="Times New Roman CYR"/>
                <w:sz w:val="21"/>
                <w:szCs w:val="21"/>
              </w:rPr>
              <w:t xml:space="preserve">на койке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6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9,4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4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3"/>
        </w:trPr>
        <w:tc>
          <w:tcPr>
            <w:tcBorders>
              <w:left w:val="single" w:color="000001" w:sz="6" w:space="0"/>
              <w:bottom w:val="single" w:color="000001" w:sz="6" w:space="0"/>
            </w:tcBorders>
            <w:tcW w:w="423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rPr>
                <w:sz w:val="21"/>
                <w:szCs w:val="21"/>
                <w:lang w:val="en-US"/>
              </w:rPr>
              <w:t xml:space="preserve">11</w:t>
            </w:r>
            <w:r/>
          </w:p>
        </w:tc>
        <w:tc>
          <w:tcPr>
            <w:gridSpan w:val="2"/>
            <w:tcBorders>
              <w:left w:val="single" w:color="000001" w:sz="6" w:space="0"/>
              <w:bottom w:val="single" w:color="000001" w:sz="6" w:space="0"/>
            </w:tcBorders>
            <w:tcW w:w="3318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both"/>
              <w:rPr/>
            </w:pPr>
            <w:r>
              <w:rPr>
                <w:rFonts w:ascii="Times New Roman CYR" w:hAnsi="Times New Roman CYR" w:cs="Times New Roman CYR"/>
                <w:sz w:val="21"/>
                <w:szCs w:val="21"/>
              </w:rPr>
              <w:t xml:space="preserve">Коэффициент выполнения функции врачебной должности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6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line="276" w:lineRule="auto"/>
              <w:ind/>
              <w:jc w:val="center"/>
              <w:rPr/>
            </w:pPr>
            <w:r>
              <w:t xml:space="preserve">0,98</w:t>
            </w:r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</w:tcBorders>
            <w:tcW w:w="127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4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Style w:val="880"/>
        <w:pBdr/>
        <w:spacing/>
        <w:ind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Style w:val="880"/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 CYR">
    <w:panose1 w:val="05040102010807070707"/>
  </w:font>
  <w:font w:name="Tahoma">
    <w:panose1 w:val="020B0604030504040204"/>
  </w:font>
  <w:font w:name="Noto Sans Devanagari">
    <w:panose1 w:val="020B0502040504020204"/>
  </w:font>
  <w:font w:name="Andale Sans UI">
    <w:panose1 w:val="05040102010807070707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>
    <w:name w:val="Table Grid"/>
    <w:basedOn w:val="88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Table Grid Light"/>
    <w:basedOn w:val="88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1"/>
    <w:basedOn w:val="88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2"/>
    <w:basedOn w:val="88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1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2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3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4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5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6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1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2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3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4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5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6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1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2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3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4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5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6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3">
    <w:name w:val="Heading 1"/>
    <w:basedOn w:val="880"/>
    <w:next w:val="880"/>
    <w:link w:val="83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4">
    <w:name w:val="Heading 2"/>
    <w:basedOn w:val="880"/>
    <w:next w:val="880"/>
    <w:link w:val="83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5">
    <w:name w:val="Heading 3"/>
    <w:basedOn w:val="880"/>
    <w:next w:val="880"/>
    <w:link w:val="83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6">
    <w:name w:val="Heading 4"/>
    <w:basedOn w:val="880"/>
    <w:next w:val="880"/>
    <w:link w:val="83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7">
    <w:name w:val="Heading 5"/>
    <w:basedOn w:val="880"/>
    <w:next w:val="880"/>
    <w:link w:val="83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28">
    <w:name w:val="Heading 6"/>
    <w:basedOn w:val="880"/>
    <w:next w:val="880"/>
    <w:link w:val="83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29">
    <w:name w:val="Heading 7"/>
    <w:basedOn w:val="880"/>
    <w:next w:val="880"/>
    <w:link w:val="83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0">
    <w:name w:val="Heading 8"/>
    <w:basedOn w:val="880"/>
    <w:next w:val="880"/>
    <w:link w:val="83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1">
    <w:name w:val="Heading 9"/>
    <w:basedOn w:val="880"/>
    <w:next w:val="880"/>
    <w:link w:val="84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2">
    <w:name w:val="Heading 1 Char"/>
    <w:basedOn w:val="881"/>
    <w:link w:val="8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3">
    <w:name w:val="Heading 2 Char"/>
    <w:basedOn w:val="881"/>
    <w:link w:val="8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4">
    <w:name w:val="Heading 3 Char"/>
    <w:basedOn w:val="881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5">
    <w:name w:val="Heading 4 Char"/>
    <w:basedOn w:val="881"/>
    <w:link w:val="82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6">
    <w:name w:val="Heading 5 Char"/>
    <w:basedOn w:val="881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7">
    <w:name w:val="Heading 6 Char"/>
    <w:basedOn w:val="881"/>
    <w:link w:val="82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8">
    <w:name w:val="Heading 7 Char"/>
    <w:basedOn w:val="881"/>
    <w:link w:val="82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9">
    <w:name w:val="Heading 8 Char"/>
    <w:basedOn w:val="881"/>
    <w:link w:val="83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0">
    <w:name w:val="Heading 9 Char"/>
    <w:basedOn w:val="881"/>
    <w:link w:val="8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1">
    <w:name w:val="Title"/>
    <w:basedOn w:val="880"/>
    <w:next w:val="880"/>
    <w:link w:val="84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2">
    <w:name w:val="Title Char"/>
    <w:basedOn w:val="881"/>
    <w:link w:val="84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3">
    <w:name w:val="Subtitle"/>
    <w:basedOn w:val="880"/>
    <w:next w:val="880"/>
    <w:link w:val="84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4">
    <w:name w:val="Subtitle Char"/>
    <w:basedOn w:val="881"/>
    <w:link w:val="84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5">
    <w:name w:val="Quote"/>
    <w:basedOn w:val="880"/>
    <w:next w:val="880"/>
    <w:link w:val="84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6">
    <w:name w:val="Quote Char"/>
    <w:basedOn w:val="881"/>
    <w:link w:val="845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47">
    <w:name w:val="List Paragraph"/>
    <w:basedOn w:val="880"/>
    <w:uiPriority w:val="34"/>
    <w:qFormat/>
    <w:pPr>
      <w:pBdr/>
      <w:spacing/>
      <w:ind w:left="720"/>
      <w:contextualSpacing w:val="true"/>
    </w:pPr>
  </w:style>
  <w:style w:type="character" w:styleId="848">
    <w:name w:val="Intense Emphasis"/>
    <w:basedOn w:val="88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49">
    <w:name w:val="Intense Quote"/>
    <w:basedOn w:val="880"/>
    <w:next w:val="880"/>
    <w:link w:val="85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0">
    <w:name w:val="Intense Quote Char"/>
    <w:basedOn w:val="881"/>
    <w:link w:val="84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1">
    <w:name w:val="Intense Reference"/>
    <w:basedOn w:val="88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2">
    <w:name w:val="No Spacing"/>
    <w:basedOn w:val="880"/>
    <w:uiPriority w:val="1"/>
    <w:qFormat/>
    <w:pPr>
      <w:pBdr/>
      <w:spacing w:after="0" w:line="240" w:lineRule="auto"/>
      <w:ind/>
    </w:pPr>
  </w:style>
  <w:style w:type="character" w:styleId="853">
    <w:name w:val="Subtle Emphasis"/>
    <w:basedOn w:val="88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4">
    <w:name w:val="Emphasis"/>
    <w:basedOn w:val="881"/>
    <w:uiPriority w:val="20"/>
    <w:qFormat/>
    <w:pPr>
      <w:pBdr/>
      <w:spacing/>
      <w:ind/>
    </w:pPr>
    <w:rPr>
      <w:i/>
      <w:iCs/>
    </w:rPr>
  </w:style>
  <w:style w:type="character" w:styleId="855">
    <w:name w:val="Strong"/>
    <w:basedOn w:val="881"/>
    <w:uiPriority w:val="22"/>
    <w:qFormat/>
    <w:pPr>
      <w:pBdr/>
      <w:spacing/>
      <w:ind/>
    </w:pPr>
    <w:rPr>
      <w:b/>
      <w:bCs/>
    </w:rPr>
  </w:style>
  <w:style w:type="character" w:styleId="856">
    <w:name w:val="Subtle Reference"/>
    <w:basedOn w:val="88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7">
    <w:name w:val="Book Title"/>
    <w:basedOn w:val="88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8">
    <w:name w:val="Header"/>
    <w:basedOn w:val="880"/>
    <w:link w:val="85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9">
    <w:name w:val="Header Char"/>
    <w:basedOn w:val="881"/>
    <w:link w:val="858"/>
    <w:uiPriority w:val="99"/>
    <w:pPr>
      <w:pBdr/>
      <w:spacing/>
      <w:ind/>
    </w:pPr>
  </w:style>
  <w:style w:type="paragraph" w:styleId="860">
    <w:name w:val="Footer"/>
    <w:basedOn w:val="880"/>
    <w:link w:val="86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1">
    <w:name w:val="Footer Char"/>
    <w:basedOn w:val="881"/>
    <w:link w:val="860"/>
    <w:uiPriority w:val="99"/>
    <w:pPr>
      <w:pBdr/>
      <w:spacing/>
      <w:ind/>
    </w:pPr>
  </w:style>
  <w:style w:type="paragraph" w:styleId="862">
    <w:name w:val="footnote text"/>
    <w:basedOn w:val="880"/>
    <w:link w:val="86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3">
    <w:name w:val="Footnote Text Char"/>
    <w:basedOn w:val="881"/>
    <w:link w:val="862"/>
    <w:uiPriority w:val="99"/>
    <w:semiHidden/>
    <w:pPr>
      <w:pBdr/>
      <w:spacing/>
      <w:ind/>
    </w:pPr>
    <w:rPr>
      <w:sz w:val="20"/>
      <w:szCs w:val="20"/>
    </w:rPr>
  </w:style>
  <w:style w:type="character" w:styleId="864">
    <w:name w:val="footnote reference"/>
    <w:basedOn w:val="881"/>
    <w:uiPriority w:val="99"/>
    <w:semiHidden/>
    <w:unhideWhenUsed/>
    <w:pPr>
      <w:pBdr/>
      <w:spacing/>
      <w:ind/>
    </w:pPr>
    <w:rPr>
      <w:vertAlign w:val="superscript"/>
    </w:rPr>
  </w:style>
  <w:style w:type="paragraph" w:styleId="865">
    <w:name w:val="endnote text"/>
    <w:basedOn w:val="880"/>
    <w:link w:val="86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6">
    <w:name w:val="Endnote Text Char"/>
    <w:basedOn w:val="881"/>
    <w:link w:val="865"/>
    <w:uiPriority w:val="99"/>
    <w:semiHidden/>
    <w:pPr>
      <w:pBdr/>
      <w:spacing/>
      <w:ind/>
    </w:pPr>
    <w:rPr>
      <w:sz w:val="20"/>
      <w:szCs w:val="20"/>
    </w:rPr>
  </w:style>
  <w:style w:type="character" w:styleId="867">
    <w:name w:val="endnote reference"/>
    <w:basedOn w:val="881"/>
    <w:uiPriority w:val="99"/>
    <w:semiHidden/>
    <w:unhideWhenUsed/>
    <w:pPr>
      <w:pBdr/>
      <w:spacing/>
      <w:ind/>
    </w:pPr>
    <w:rPr>
      <w:vertAlign w:val="superscript"/>
    </w:rPr>
  </w:style>
  <w:style w:type="character" w:styleId="868">
    <w:name w:val="FollowedHyperlink"/>
    <w:basedOn w:val="88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69">
    <w:name w:val="toc 1"/>
    <w:basedOn w:val="880"/>
    <w:next w:val="880"/>
    <w:uiPriority w:val="39"/>
    <w:unhideWhenUsed/>
    <w:pPr>
      <w:pBdr/>
      <w:spacing w:after="100"/>
      <w:ind/>
    </w:pPr>
  </w:style>
  <w:style w:type="paragraph" w:styleId="870">
    <w:name w:val="toc 2"/>
    <w:basedOn w:val="880"/>
    <w:next w:val="880"/>
    <w:uiPriority w:val="39"/>
    <w:unhideWhenUsed/>
    <w:pPr>
      <w:pBdr/>
      <w:spacing w:after="100"/>
      <w:ind w:left="220"/>
    </w:pPr>
  </w:style>
  <w:style w:type="paragraph" w:styleId="871">
    <w:name w:val="toc 3"/>
    <w:basedOn w:val="880"/>
    <w:next w:val="880"/>
    <w:uiPriority w:val="39"/>
    <w:unhideWhenUsed/>
    <w:pPr>
      <w:pBdr/>
      <w:spacing w:after="100"/>
      <w:ind w:left="440"/>
    </w:pPr>
  </w:style>
  <w:style w:type="paragraph" w:styleId="872">
    <w:name w:val="toc 4"/>
    <w:basedOn w:val="880"/>
    <w:next w:val="880"/>
    <w:uiPriority w:val="39"/>
    <w:unhideWhenUsed/>
    <w:pPr>
      <w:pBdr/>
      <w:spacing w:after="100"/>
      <w:ind w:left="660"/>
    </w:pPr>
  </w:style>
  <w:style w:type="paragraph" w:styleId="873">
    <w:name w:val="toc 5"/>
    <w:basedOn w:val="880"/>
    <w:next w:val="880"/>
    <w:uiPriority w:val="39"/>
    <w:unhideWhenUsed/>
    <w:pPr>
      <w:pBdr/>
      <w:spacing w:after="100"/>
      <w:ind w:left="880"/>
    </w:pPr>
  </w:style>
  <w:style w:type="paragraph" w:styleId="874">
    <w:name w:val="toc 6"/>
    <w:basedOn w:val="880"/>
    <w:next w:val="880"/>
    <w:uiPriority w:val="39"/>
    <w:unhideWhenUsed/>
    <w:pPr>
      <w:pBdr/>
      <w:spacing w:after="100"/>
      <w:ind w:left="1100"/>
    </w:pPr>
  </w:style>
  <w:style w:type="paragraph" w:styleId="875">
    <w:name w:val="toc 7"/>
    <w:basedOn w:val="880"/>
    <w:next w:val="880"/>
    <w:uiPriority w:val="39"/>
    <w:unhideWhenUsed/>
    <w:pPr>
      <w:pBdr/>
      <w:spacing w:after="100"/>
      <w:ind w:left="1320"/>
    </w:pPr>
  </w:style>
  <w:style w:type="paragraph" w:styleId="876">
    <w:name w:val="toc 8"/>
    <w:basedOn w:val="880"/>
    <w:next w:val="880"/>
    <w:uiPriority w:val="39"/>
    <w:unhideWhenUsed/>
    <w:pPr>
      <w:pBdr/>
      <w:spacing w:after="100"/>
      <w:ind w:left="1540"/>
    </w:pPr>
  </w:style>
  <w:style w:type="paragraph" w:styleId="877">
    <w:name w:val="toc 9"/>
    <w:basedOn w:val="880"/>
    <w:next w:val="880"/>
    <w:uiPriority w:val="39"/>
    <w:unhideWhenUsed/>
    <w:pPr>
      <w:pBdr/>
      <w:spacing w:after="100"/>
      <w:ind w:left="1760"/>
    </w:pPr>
  </w:style>
  <w:style w:type="paragraph" w:styleId="878">
    <w:name w:val="TOC Heading"/>
    <w:uiPriority w:val="39"/>
    <w:unhideWhenUsed/>
    <w:pPr>
      <w:pBdr/>
      <w:spacing/>
      <w:ind/>
    </w:pPr>
  </w:style>
  <w:style w:type="paragraph" w:styleId="879">
    <w:name w:val="table of figures"/>
    <w:basedOn w:val="880"/>
    <w:next w:val="880"/>
    <w:uiPriority w:val="99"/>
    <w:unhideWhenUsed/>
    <w:pPr>
      <w:pBdr/>
      <w:spacing w:after="0" w:afterAutospacing="0"/>
      <w:ind/>
    </w:pPr>
  </w:style>
  <w:style w:type="paragraph" w:styleId="880" w:default="1">
    <w:name w:val="Normal"/>
    <w:qFormat/>
    <w:pPr>
      <w:widowControl w:val="false"/>
      <w:pBdr/>
      <w:bidi w:val="false"/>
      <w:spacing w:after="0" w:before="0" w:line="240" w:lineRule="auto"/>
      <w:ind/>
      <w:jc w:val="left"/>
    </w:pPr>
    <w:rPr>
      <w:rFonts w:ascii="Times New Roman" w:hAnsi="Times New Roman" w:eastAsia="Andale Sans UI" w:cs="Times New Roman"/>
      <w:color w:val="auto"/>
      <w:sz w:val="24"/>
      <w:szCs w:val="24"/>
      <w:lang w:val="ru-RU" w:eastAsia="zh-CN" w:bidi="ar-SA"/>
    </w:rPr>
  </w:style>
  <w:style w:type="character" w:styleId="881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882">
    <w:name w:val="Hyperlink"/>
    <w:basedOn w:val="881"/>
    <w:uiPriority w:val="99"/>
    <w:semiHidden/>
    <w:unhideWhenUsed/>
    <w:pPr>
      <w:pBdr/>
      <w:spacing/>
      <w:ind/>
    </w:pPr>
    <w:rPr>
      <w:color w:val="0000ff"/>
      <w:u w:val="single"/>
    </w:rPr>
  </w:style>
  <w:style w:type="paragraph" w:styleId="883">
    <w:name w:val="Заголовок"/>
    <w:basedOn w:val="880"/>
    <w:next w:val="884"/>
    <w:qFormat/>
    <w:pPr>
      <w:keepNext w:val="true"/>
      <w:pBdr/>
      <w:spacing w:after="120" w:before="240"/>
      <w:ind/>
    </w:pPr>
    <w:rPr>
      <w:rFonts w:ascii="PT Astra Serif" w:hAnsi="PT Astra Serif" w:eastAsia="Tahoma" w:cs="Noto Sans Devanagari"/>
      <w:sz w:val="28"/>
      <w:szCs w:val="28"/>
    </w:rPr>
  </w:style>
  <w:style w:type="paragraph" w:styleId="884">
    <w:name w:val="Body Text"/>
    <w:basedOn w:val="880"/>
    <w:pPr>
      <w:pBdr/>
      <w:spacing w:after="140" w:before="0" w:line="276" w:lineRule="auto"/>
      <w:ind/>
    </w:pPr>
  </w:style>
  <w:style w:type="paragraph" w:styleId="885">
    <w:name w:val="List"/>
    <w:basedOn w:val="884"/>
    <w:pPr>
      <w:pBdr/>
      <w:spacing/>
      <w:ind/>
    </w:pPr>
    <w:rPr>
      <w:rFonts w:ascii="PT Astra Serif" w:hAnsi="PT Astra Serif" w:cs="Noto Sans Devanagari"/>
    </w:rPr>
  </w:style>
  <w:style w:type="paragraph" w:styleId="886">
    <w:name w:val="Caption"/>
    <w:basedOn w:val="880"/>
    <w:qFormat/>
    <w:pPr>
      <w:suppressLineNumbers w:val="true"/>
      <w:pBdr/>
      <w:spacing w:after="120" w:before="120"/>
      <w:ind/>
    </w:pPr>
    <w:rPr>
      <w:rFonts w:ascii="PT Astra Serif" w:hAnsi="PT Astra Serif" w:cs="Noto Sans Devanagari"/>
      <w:i/>
      <w:iCs/>
      <w:sz w:val="24"/>
      <w:szCs w:val="24"/>
    </w:rPr>
  </w:style>
  <w:style w:type="paragraph" w:styleId="887">
    <w:name w:val="Указатель"/>
    <w:basedOn w:val="880"/>
    <w:qFormat/>
    <w:pPr>
      <w:suppressLineNumbers w:val="true"/>
      <w:pBdr/>
      <w:spacing/>
      <w:ind/>
    </w:pPr>
    <w:rPr>
      <w:rFonts w:ascii="PT Astra Serif" w:hAnsi="PT Astra Serif" w:cs="Noto Sans Devanagari"/>
    </w:rPr>
  </w:style>
  <w:style w:type="numbering" w:styleId="888" w:default="1">
    <w:name w:val="No List"/>
    <w:uiPriority w:val="99"/>
    <w:semiHidden/>
    <w:unhideWhenUsed/>
    <w:qFormat/>
    <w:pPr>
      <w:pBdr/>
      <w:spacing/>
      <w:ind/>
    </w:pPr>
  </w:style>
  <w:style w:type="table" w:styleId="889" w:default="1">
    <w:name w:val="Normal Table"/>
    <w:uiPriority w:val="99"/>
    <w:semiHidden/>
    <w:unhideWhenUsed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ONLYOFFICE/8.2.0.143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Пильникова Надежда Алексеевна</dc:creator>
  <dc:description/>
  <dc:language>ru-RU</dc:language>
  <cp:revision>10</cp:revision>
  <dcterms:created xsi:type="dcterms:W3CDTF">2025-01-21T04:22:00Z</dcterms:created>
  <dcterms:modified xsi:type="dcterms:W3CDTF">2026-01-22T08:25:38Z</dcterms:modified>
</cp:coreProperties>
</file>