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0"/>
        <w:pBdr/>
        <w:tabs>
          <w:tab w:val="clear" w:leader="none" w:pos="708"/>
          <w:tab w:val="left" w:leader="none" w:pos="786"/>
        </w:tabs>
        <w:spacing w:after="114" w:before="114"/>
        <w:ind w:right="-1191" w:firstLine="0"/>
        <w:jc w:val="center"/>
        <w:rPr>
          <w:rFonts w:ascii="Times New Roman CYR" w:hAnsi="Times New Roman CYR" w:eastAsia="Times New Roman" w:cs="Times New Roman CYR"/>
          <w:b/>
          <w:sz w:val="18"/>
          <w:szCs w:val="21"/>
        </w:rPr>
      </w:pPr>
      <w:r>
        <w:rPr>
          <w:rFonts w:ascii="Times New Roman CYR" w:hAnsi="Times New Roman CYR" w:cs="Times New Roman CYR"/>
          <w:b/>
          <w:sz w:val="26"/>
          <w:szCs w:val="26"/>
        </w:rPr>
        <w:t xml:space="preserve">Критерии качества и доступности медицинской помощи </w:t>
      </w:r>
      <w:r>
        <w:rPr>
          <w:rFonts w:ascii="Times New Roman CYR" w:hAnsi="Times New Roman CYR" w:eastAsia="Times New Roman" w:cs="Times New Roman CYR"/>
          <w:b/>
          <w:sz w:val="18"/>
          <w:szCs w:val="21"/>
        </w:rPr>
      </w:r>
    </w:p>
    <w:p>
      <w:pPr>
        <w:pStyle w:val="660"/>
        <w:pBdr/>
        <w:tabs>
          <w:tab w:val="clear" w:leader="none" w:pos="708"/>
          <w:tab w:val="left" w:leader="none" w:pos="786"/>
        </w:tabs>
        <w:spacing w:after="114" w:before="114"/>
        <w:ind w:right="-1191" w:firstLine="0"/>
        <w:jc w:val="center"/>
        <w:rPr>
          <w:rFonts w:eastAsia="Times New Roman"/>
          <w:b/>
          <w:sz w:val="18"/>
        </w:rPr>
      </w:pPr>
      <w:r>
        <w:rPr>
          <w:rFonts w:ascii="Times New Roman CYR" w:hAnsi="Times New Roman CYR" w:eastAsia="Times New Roman" w:cs="Times New Roman CYR"/>
          <w:b/>
          <w:sz w:val="18"/>
          <w:szCs w:val="21"/>
        </w:rPr>
        <w:t xml:space="preserve">в  ГАУЗ СО </w:t>
      </w:r>
      <w:r>
        <w:rPr>
          <w:rFonts w:eastAsia="Times New Roman"/>
          <w:b/>
          <w:sz w:val="18"/>
          <w:szCs w:val="21"/>
        </w:rPr>
        <w:t xml:space="preserve">«</w:t>
      </w:r>
      <w:r>
        <w:rPr>
          <w:rFonts w:ascii="Times New Roman CYR" w:hAnsi="Times New Roman CYR" w:eastAsia="Times New Roman" w:cs="Times New Roman CYR"/>
          <w:b/>
          <w:sz w:val="18"/>
          <w:szCs w:val="21"/>
        </w:rPr>
        <w:t xml:space="preserve">СОБ № 2» на 2025 год</w:t>
      </w:r>
      <w:r>
        <w:rPr>
          <w:rFonts w:eastAsia="Times New Roman"/>
          <w:b/>
          <w:sz w:val="18"/>
        </w:rPr>
      </w:r>
    </w:p>
    <w:tbl>
      <w:tblPr>
        <w:tblW w:w="10305" w:type="dxa"/>
        <w:tblInd w:w="-569" w:type="dxa"/>
        <w:tblBorders/>
        <w:tblLayout w:type="fixed"/>
        <w:tblCellMar>
          <w:left w:w="54" w:type="dxa"/>
          <w:top w:w="0" w:type="dxa"/>
          <w:right w:w="54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035"/>
        <w:gridCol w:w="283"/>
        <w:gridCol w:w="1276"/>
        <w:gridCol w:w="1276"/>
        <w:gridCol w:w="1278"/>
        <w:gridCol w:w="1273"/>
        <w:gridCol w:w="1460"/>
      </w:tblGrid>
      <w:tr>
        <w:trPr>
          <w:trHeight w:val="23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  <w:sz w:val="1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п/п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3035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Наименование показателя</w:t>
            </w:r>
            <w:r/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Целевое значение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на 2025 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Значени5</w:t>
            </w:r>
            <w:r>
              <w:rPr>
                <w:b/>
                <w:sz w:val="18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b/>
                <w:sz w:val="18"/>
                <w:lang w:val="en-US"/>
              </w:rPr>
              <w:t xml:space="preserve">I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 202г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значение</w:t>
            </w:r>
            <w:r>
              <w:rPr>
                <w:b/>
                <w:sz w:val="18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b/>
                <w:sz w:val="18"/>
                <w:lang w:val="en-US"/>
              </w:rPr>
              <w:t xml:space="preserve">II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кв.2025г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значение</w:t>
            </w:r>
            <w:r>
              <w:rPr>
                <w:rFonts w:eastAsia="Times New Roman"/>
                <w:b/>
                <w:sz w:val="18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 xml:space="preserve">III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кв.2025 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значение</w:t>
            </w:r>
            <w:r>
              <w:rPr>
                <w:b/>
                <w:sz w:val="18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b/>
                <w:sz w:val="18"/>
                <w:lang w:val="en-US"/>
              </w:rPr>
              <w:t xml:space="preserve">IV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кв.2025 г</w:t>
            </w:r>
            <w:r/>
          </w:p>
        </w:tc>
      </w:tr>
      <w:tr>
        <w:trPr>
          <w:trHeight w:val="23"/>
        </w:trPr>
        <w:tc>
          <w:tcPr>
            <w:gridSpan w:val="8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304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</w:rPr>
              <w:t xml:space="preserve">                  </w:t>
            </w:r>
            <w:r>
              <w:rPr>
                <w:rFonts w:ascii="Times New Roman CYR" w:hAnsi="Times New Roman CYR" w:eastAsia="Times New Roman CYR" w:cs="Times New Roman CYR"/>
                <w:b/>
              </w:rPr>
              <w:t xml:space="preserve">          </w:t>
            </w:r>
            <w:r>
              <w:rPr>
                <w:rFonts w:ascii="Times New Roman CYR" w:hAnsi="Times New Roman CYR" w:cs="Times New Roman CYR"/>
                <w:b/>
              </w:rPr>
              <w:t xml:space="preserve">Критерии качества медицинской помощи</w:t>
            </w:r>
            <w:r/>
          </w:p>
        </w:tc>
      </w:tr>
      <w:tr>
        <w:trPr>
          <w:trHeight w:val="1001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Удовлетворенность населения медицинской помощью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86%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/>
            <w:bookmarkStart w:id="0" w:name="_GoBack"/>
            <w:r/>
            <w:bookmarkEnd w:id="0"/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  <w:t xml:space="preserve">88%</w:t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  <w:t xml:space="preserve">88%</w:t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  <w:t xml:space="preserve">88%</w:t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832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>
                <w:rFonts w:ascii="Calibri" w:hAnsi="Calibri" w:eastAsia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</w:t>
            </w:r>
            <w:r>
              <w:fldChar w:fldCharType="begin"/>
            </w:r>
            <w:r>
              <w:rPr>
                <w:rStyle w:val="662"/>
                <w:rFonts w:ascii="Calibri" w:hAnsi="Calibri" w:eastAsia="Calibri" w:cs="Calibri"/>
                <w:sz w:val="21"/>
                <w:szCs w:val="21"/>
                <w:lang w:eastAsia="en-US"/>
              </w:rPr>
              <w:instrText xml:space="preserve"> HYPERLINK "../../../../C:/Users/pilnikova-na/Desktop/Documents/%D0%9E%D0%9C%D0%A1/2023/%D0%9A%D1%80%D0%B8%D1%82%D0%B5%D1%80%D0%B8%D</w:instrText>
            </w:r>
            <w:r>
              <w:rPr>
                <w:rStyle w:val="662"/>
                <w:rFonts w:ascii="Calibri" w:hAnsi="Calibri" w:eastAsia="Calibri" w:cs="Calibri"/>
                <w:sz w:val="21"/>
                <w:szCs w:val="21"/>
                <w:lang w:eastAsia="en-US"/>
              </w:rPr>
              <w:instrText xml:space="preserve">0%B8%20%D0%BA%D0%B0%D1%87%D0%B5%D1%81%D1%82%D0%B2%D0%B0%20%D0%B8%20%D0%B4%D0%BE%D1%81%D1%82%D1%83%D0%BF%D0%BD%D0%BE%D1%81%D1%82%D0%B8%20%D0%BC%D0%B5%D0%B4%D0%B8%D1%86%D0%B8%D0%BD%D1%81%D0%BA%D0%BE%D0%B9%20%D0%BF%D0%BE%D0%BC%D0%BE%D1%89%D0%B8.docx" \l "P34"</w:instrText>
            </w:r>
            <w:r>
              <w:rPr>
                <w:rStyle w:val="662"/>
                <w:rFonts w:ascii="Calibri" w:hAnsi="Calibri" w:eastAsia="Calibri" w:cs="Calibri"/>
                <w:sz w:val="21"/>
                <w:szCs w:val="21"/>
                <w:lang w:eastAsia="en-US"/>
              </w:rPr>
              <w:fldChar w:fldCharType="separate"/>
            </w:r>
            <w:r>
              <w:rPr>
                <w:rStyle w:val="662"/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программы</w:t>
            </w:r>
            <w:r>
              <w:rPr>
                <w:rStyle w:val="662"/>
                <w:rFonts w:ascii="Calibri" w:hAnsi="Calibri" w:eastAsia="Calibri" w:cs="Calibri"/>
                <w:sz w:val="21"/>
                <w:szCs w:val="21"/>
                <w:lang w:eastAsia="en-US"/>
              </w:rPr>
              <w:fldChar w:fldCharType="end"/>
            </w: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 государственных гарантий бесплатного оказания гражданам медицинской помощи в Свердловской области на 2025год и на плановый период 2026и 2027годов абсолютное количество</w:t>
            </w: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не более 450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</w:t>
            </w:r>
            <w:r/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gridSpan w:val="8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304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  <w:sz w:val="21"/>
                <w:szCs w:val="21"/>
              </w:rPr>
              <w:t xml:space="preserve">                    </w:t>
            </w:r>
            <w:r>
              <w:rPr>
                <w:rFonts w:ascii="Times New Roman CYR" w:hAnsi="Times New Roman CYR" w:eastAsia="Times New Roman CYR" w:cs="Times New Roman CYR"/>
                <w:b/>
                <w:sz w:val="21"/>
                <w:szCs w:val="21"/>
              </w:rPr>
              <w:t xml:space="preserve">                </w:t>
            </w:r>
            <w:r>
              <w:rPr>
                <w:rFonts w:ascii="Times New Roman CYR" w:hAnsi="Times New Roman CYR" w:cs="Times New Roman CYR"/>
                <w:b/>
                <w:sz w:val="21"/>
                <w:szCs w:val="21"/>
              </w:rPr>
              <w:t xml:space="preserve">Критерии доступности медицинской помощи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Амбулаторная медицинская помощь</w: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sz w:val="21"/>
                <w:szCs w:val="21"/>
              </w:rPr>
              <w:t xml:space="preserve">(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специализированная медицинская    помощь)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86 203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20 689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40489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69737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Стационарная медицинская помощь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2 200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563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1100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1614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Время ожидания на амбулаторном приеме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 час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 час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1час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 час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Сроки ожидания плановой госпитализации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14 рабочих дней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8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7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7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Сроки ожидания консультации к </w:t>
            </w:r>
            <w:r>
              <w:rPr>
                <w:sz w:val="21"/>
                <w:szCs w:val="21"/>
              </w:rPr>
              <w:t xml:space="preserve">«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узким специалистам</w:t>
            </w:r>
            <w:r>
              <w:rPr>
                <w:sz w:val="21"/>
                <w:szCs w:val="21"/>
              </w:rPr>
              <w:t xml:space="preserve">»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14 рабочих дней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12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12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12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23"/>
        </w:trPr>
        <w:tc>
          <w:tcPr>
            <w:gridSpan w:val="8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304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rPr/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 xml:space="preserve">                                  </w:t>
            </w:r>
            <w:r>
              <w:rPr>
                <w:rFonts w:eastAsia="Times New Roman"/>
                <w:b/>
                <w:sz w:val="21"/>
                <w:szCs w:val="21"/>
              </w:rPr>
              <w:t xml:space="preserve">        </w:t>
            </w:r>
            <w:r>
              <w:rPr>
                <w:rFonts w:eastAsia="Times New Roman"/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1"/>
                <w:szCs w:val="21"/>
              </w:rPr>
              <w:t xml:space="preserve">Показатели эффективности деятельности медицинских организаций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Среднегодовая занятость койки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315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76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143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210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9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Доля врачей, имеющих сертификат- аккредитацию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100 %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100%</w:t>
            </w:r>
            <w:r/>
            <w:r/>
          </w:p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10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Средние сроки пребывания пациента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</w:p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на койке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11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Коэффициент выполнения функции врачебной должности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0,98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0,25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0,49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0,74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66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</w:tbl>
    <w:p>
      <w:pPr>
        <w:pStyle w:val="660"/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60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 CYR">
    <w:panose1 w:val="05040102010807070707"/>
  </w:font>
  <w:font w:name="Tahoma">
    <w:panose1 w:val="020B0604030504040204"/>
  </w:font>
  <w:font w:name="Noto Sans Devanagari">
    <w:panose1 w:val="020B0502040504020204"/>
  </w:font>
  <w:font w:name="Andale Sans UI">
    <w:panose1 w:val="05040102010807070707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Andale Sans UI" w:cs="Times New Roman"/>
      <w:color w:val="auto"/>
      <w:sz w:val="24"/>
      <w:szCs w:val="24"/>
      <w:lang w:val="ru-RU" w:eastAsia="zh-CN" w:bidi="ar-SA"/>
    </w:rPr>
  </w:style>
  <w:style w:type="character" w:styleId="66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62">
    <w:name w:val="Hyperlink"/>
    <w:basedOn w:val="66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663">
    <w:name w:val="Заголовок"/>
    <w:basedOn w:val="660"/>
    <w:next w:val="664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64">
    <w:name w:val="Body Text"/>
    <w:basedOn w:val="660"/>
    <w:pPr>
      <w:pBdr/>
      <w:spacing w:after="140" w:before="0" w:line="276" w:lineRule="auto"/>
      <w:ind/>
    </w:pPr>
  </w:style>
  <w:style w:type="paragraph" w:styleId="665">
    <w:name w:val="List"/>
    <w:basedOn w:val="664"/>
    <w:pPr>
      <w:pBdr/>
      <w:spacing/>
      <w:ind/>
    </w:pPr>
    <w:rPr>
      <w:rFonts w:ascii="PT Astra Serif" w:hAnsi="PT Astra Serif" w:cs="Noto Sans Devanagari"/>
    </w:rPr>
  </w:style>
  <w:style w:type="paragraph" w:styleId="666">
    <w:name w:val="Caption"/>
    <w:basedOn w:val="660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67">
    <w:name w:val="Указатель"/>
    <w:basedOn w:val="660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numbering" w:styleId="668" w:default="1">
    <w:name w:val="No List"/>
    <w:uiPriority w:val="99"/>
    <w:semiHidden/>
    <w:unhideWhenUsed/>
    <w:qFormat/>
    <w:pPr>
      <w:pBdr/>
      <w:spacing/>
      <w:ind/>
    </w:pPr>
  </w:style>
  <w:style w:type="table" w:styleId="669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Пильникова Надежда Алексеевна</dc:creator>
  <dc:description/>
  <dc:language>ru-RU</dc:language>
  <cp:revision>9</cp:revision>
  <dcterms:created xsi:type="dcterms:W3CDTF">2025-01-21T04:22:00Z</dcterms:created>
  <dcterms:modified xsi:type="dcterms:W3CDTF">2025-11-05T09:50:51Z</dcterms:modified>
</cp:coreProperties>
</file>